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500" w:lineRule="atLeast"/>
        <w:jc w:val="center"/>
        <w:rPr>
          <w:sz w:val="18"/>
          <w:szCs w:val="18"/>
        </w:rPr>
      </w:pPr>
      <w:r>
        <w:rPr>
          <w:rFonts w:hint="eastAsia" w:ascii="黑体" w:hAnsi="黑体" w:eastAsia="黑体"/>
          <w:sz w:val="36"/>
          <w:szCs w:val="36"/>
        </w:rPr>
        <w:t>管理学院2019年接收推荐免试</w:t>
      </w:r>
      <w:r>
        <w:rPr>
          <w:rFonts w:hint="eastAsia" w:ascii="黑体" w:hAnsi="黑体" w:eastAsia="黑体"/>
          <w:sz w:val="36"/>
          <w:szCs w:val="36"/>
          <w:lang w:eastAsia="zh-CN"/>
        </w:rPr>
        <w:t>专业</w:t>
      </w:r>
      <w:r>
        <w:rPr>
          <w:rFonts w:hint="eastAsia" w:ascii="黑体" w:hAnsi="黑体" w:eastAsia="黑体"/>
          <w:sz w:val="36"/>
          <w:szCs w:val="36"/>
        </w:rPr>
        <w:t>学位硕士研究生</w:t>
      </w:r>
    </w:p>
    <w:p>
      <w:pPr>
        <w:pStyle w:val="4"/>
        <w:snapToGrid w:val="0"/>
        <w:spacing w:before="0" w:beforeAutospacing="0" w:after="0" w:afterAutospacing="0" w:line="500" w:lineRule="atLeast"/>
        <w:jc w:val="center"/>
        <w:rPr>
          <w:rFonts w:hint="eastAsia"/>
          <w:sz w:val="18"/>
          <w:szCs w:val="18"/>
        </w:rPr>
      </w:pPr>
      <w:r>
        <w:rPr>
          <w:rFonts w:hint="eastAsia" w:ascii="黑体" w:hAnsi="黑体" w:eastAsia="黑体"/>
          <w:sz w:val="36"/>
          <w:szCs w:val="36"/>
        </w:rPr>
        <w:t>工作日程</w:t>
      </w:r>
    </w:p>
    <w:tbl>
      <w:tblPr>
        <w:tblStyle w:val="3"/>
        <w:tblW w:w="10062" w:type="dxa"/>
        <w:jc w:val="center"/>
        <w:tblInd w:w="-511" w:type="dxa"/>
        <w:tblLayout w:type="fixed"/>
        <w:tblCellMar>
          <w:top w:w="119" w:type="dxa"/>
          <w:left w:w="108" w:type="dxa"/>
          <w:bottom w:w="119" w:type="dxa"/>
          <w:right w:w="108" w:type="dxa"/>
        </w:tblCellMar>
      </w:tblPr>
      <w:tblGrid>
        <w:gridCol w:w="3186"/>
        <w:gridCol w:w="3758"/>
        <w:gridCol w:w="1420"/>
        <w:gridCol w:w="1698"/>
      </w:tblGrid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负责单位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   注</w:t>
            </w: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前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山东大学研究生招生信息网提交推荐免试申请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9月16日前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专业硕士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中心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网站查询推荐免试生接收办法和复试录取办法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9月18日前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通知符合条件的校外推免生参加复试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管理学院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电话通知</w:t>
            </w: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月21日上午8:00-9:00（本校推免生）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9月26日上午8:00-9:00（外校推免生）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体检（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空腹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携带一寸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正面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免冠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一张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中心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校区校医院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中心校区校医院</w:t>
            </w: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本校推免生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月21日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:30-16:30；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外校推免生9月25日上午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0-9:00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报到，学院审核申请材料原件，同时缴纳复试费180元（知新楼B5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申请材料包括：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（1）有效身份证件；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（2）本科阶段成绩单原件，并加盖学校教务主管部门公章；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（3）外语水平证明原件或外语资格考试成绩单原件；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（4）申请人所在单位相关部门出具的推免资格证明。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考生还可提供如下材料（第一学位非管理、经济、数学、控制、计算机学科的必须提供）：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（1）获奖证书原件；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（2）体现自身学术水平的代表性学术论文、出版物或原创性工作成果等材料；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（3）修读管理或经济类第二学位的证明材料。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知新楼B5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03</w:t>
            </w: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9月25日9: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2:00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试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地点：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知新楼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B座B607、B611、B615、B619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具体分组报到时见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B503门外通知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9月25日1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-16:00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笔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试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地点：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知新楼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C座 C502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9月28日18点之前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发送拟录取通知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19" w:type="dxa"/>
            <w:left w:w="108" w:type="dxa"/>
            <w:bottom w:w="119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第二批复试</w:t>
            </w:r>
          </w:p>
        </w:tc>
        <w:tc>
          <w:tcPr>
            <w:tcW w:w="3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视情况决定是否开展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E5955"/>
    <w:rsid w:val="1C8E5955"/>
    <w:rsid w:val="1F527D0C"/>
    <w:rsid w:val="2CB15D3A"/>
    <w:rsid w:val="32D26D5E"/>
    <w:rsid w:val="3B746006"/>
    <w:rsid w:val="48527FA2"/>
    <w:rsid w:val="501B24BC"/>
    <w:rsid w:val="58B9204F"/>
    <w:rsid w:val="61815213"/>
    <w:rsid w:val="6D1579D4"/>
    <w:rsid w:val="6D535020"/>
    <w:rsid w:val="710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2018-09-12T08:10:00Z</dcterms:created>
  <dc:creator>Lenovo</dc:creator>
  <cp:lastModifiedBy>Lenovo</cp:lastModifiedBy>
  <cp:lastPrinted>2018-09-13T01:24:00Z</cp:lastPrinted>
  <dcterms:modified xsi:type="dcterms:W3CDTF">2018-09-13T02:15:00Z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